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2pt;margin-top:0.1pt;width:338.15pt;height:35.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20" w:lineRule="exact"/>
                    <w:ind w:left="0" w:right="2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Схема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розміщення шлагбауму по вул. Т. Шевченка, 190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e-002pt;margin-top:156.pt;width:480.95pt;height:426.7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 id="_x0000_s1028" type="#_x0000_t202" style="position:absolute;margin-left:68.9pt;margin-top:720.15pt;width:136.1pt;height:13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uk-UA" w:eastAsia="uk-UA" w:bidi="uk-UA"/>
                      <w:w w:val="100"/>
                      <w:spacing w:val="0"/>
                      <w:color w:val="000000"/>
                      <w:position w:val="0"/>
                    </w:rPr>
                    <w:t>місце розміщення шлагбауму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1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84" w:left="1351" w:right="929" w:bottom="68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6">
    <w:name w:val="Основной текст (2) Exact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4) Exact"/>
    <w:basedOn w:val="DefaultParagraphFont"/>
    <w:link w:val="Style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